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FCB4" w14:textId="48168515" w:rsidR="008E4F28" w:rsidRPr="00DE6C10" w:rsidRDefault="008E4F28" w:rsidP="008E4F28">
      <w:pPr>
        <w:jc w:val="center"/>
        <w:rPr>
          <w:rFonts w:ascii="Arial" w:hAnsi="Arial" w:cs="Arial"/>
          <w:b/>
          <w:sz w:val="28"/>
          <w:szCs w:val="28"/>
        </w:rPr>
      </w:pPr>
      <w:r>
        <w:rPr>
          <w:rFonts w:ascii="Arial" w:hAnsi="Arial" w:cs="Arial"/>
          <w:b/>
          <w:sz w:val="28"/>
          <w:szCs w:val="28"/>
        </w:rPr>
        <w:t>Questions Received During 8/28 Applicant’s Conference</w:t>
      </w:r>
    </w:p>
    <w:p w14:paraId="0E078A43" w14:textId="77777777" w:rsidR="003F7D2B" w:rsidRPr="00C664B8" w:rsidRDefault="003F7D2B" w:rsidP="003F7D2B"/>
    <w:tbl>
      <w:tblPr>
        <w:tblW w:w="5000" w:type="pct"/>
        <w:tblCellMar>
          <w:left w:w="0" w:type="dxa"/>
          <w:right w:w="0" w:type="dxa"/>
        </w:tblCellMar>
        <w:tblLook w:val="04A0" w:firstRow="1" w:lastRow="0" w:firstColumn="1" w:lastColumn="0" w:noHBand="0" w:noVBand="1"/>
      </w:tblPr>
      <w:tblGrid>
        <w:gridCol w:w="911"/>
        <w:gridCol w:w="4785"/>
        <w:gridCol w:w="5334"/>
      </w:tblGrid>
      <w:tr w:rsidR="00C664B8" w:rsidRPr="00C664B8" w14:paraId="5D50471B" w14:textId="77777777" w:rsidTr="003833A8">
        <w:trPr>
          <w:tblHeader/>
        </w:trPr>
        <w:tc>
          <w:tcPr>
            <w:tcW w:w="413" w:type="pct"/>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15" w:type="dxa"/>
              <w:bottom w:w="0" w:type="dxa"/>
              <w:right w:w="115" w:type="dxa"/>
            </w:tcMar>
            <w:hideMark/>
          </w:tcPr>
          <w:p w14:paraId="524FD5A0" w14:textId="77777777" w:rsidR="003F7D2B" w:rsidRPr="00C664B8" w:rsidRDefault="003F7D2B">
            <w:pPr>
              <w:jc w:val="center"/>
              <w:rPr>
                <w:rFonts w:ascii="Arial" w:hAnsi="Arial" w:cs="Arial"/>
                <w:b/>
                <w:bCs/>
                <w:sz w:val="24"/>
                <w:szCs w:val="24"/>
              </w:rPr>
            </w:pPr>
            <w:r w:rsidRPr="00C664B8">
              <w:rPr>
                <w:rFonts w:ascii="Arial" w:hAnsi="Arial" w:cs="Arial"/>
                <w:b/>
                <w:bCs/>
                <w:sz w:val="24"/>
                <w:szCs w:val="24"/>
              </w:rPr>
              <w:t>#</w:t>
            </w:r>
          </w:p>
        </w:tc>
        <w:tc>
          <w:tcPr>
            <w:tcW w:w="2169" w:type="pct"/>
            <w:tcBorders>
              <w:top w:val="single" w:sz="8" w:space="0" w:color="auto"/>
              <w:left w:val="nil"/>
              <w:bottom w:val="single" w:sz="8" w:space="0" w:color="auto"/>
              <w:right w:val="single" w:sz="8" w:space="0" w:color="auto"/>
            </w:tcBorders>
            <w:shd w:val="clear" w:color="auto" w:fill="9CC2E5" w:themeFill="accent1" w:themeFillTint="99"/>
            <w:tcMar>
              <w:top w:w="0" w:type="dxa"/>
              <w:left w:w="115" w:type="dxa"/>
              <w:bottom w:w="0" w:type="dxa"/>
              <w:right w:w="115" w:type="dxa"/>
            </w:tcMar>
            <w:hideMark/>
          </w:tcPr>
          <w:p w14:paraId="5BC3382F" w14:textId="77777777" w:rsidR="003F7D2B" w:rsidRPr="00C664B8" w:rsidRDefault="003F7D2B">
            <w:pPr>
              <w:jc w:val="center"/>
              <w:rPr>
                <w:rFonts w:ascii="Arial" w:hAnsi="Arial" w:cs="Arial"/>
                <w:b/>
                <w:bCs/>
                <w:sz w:val="24"/>
                <w:szCs w:val="24"/>
              </w:rPr>
            </w:pPr>
            <w:r w:rsidRPr="00C664B8">
              <w:rPr>
                <w:rFonts w:ascii="Arial" w:hAnsi="Arial" w:cs="Arial"/>
                <w:b/>
                <w:bCs/>
                <w:sz w:val="24"/>
                <w:szCs w:val="24"/>
              </w:rPr>
              <w:t>Question</w:t>
            </w:r>
          </w:p>
        </w:tc>
        <w:tc>
          <w:tcPr>
            <w:tcW w:w="2418" w:type="pct"/>
            <w:tcBorders>
              <w:top w:val="single" w:sz="8" w:space="0" w:color="auto"/>
              <w:left w:val="nil"/>
              <w:bottom w:val="single" w:sz="8" w:space="0" w:color="auto"/>
              <w:right w:val="single" w:sz="8" w:space="0" w:color="auto"/>
            </w:tcBorders>
            <w:shd w:val="clear" w:color="auto" w:fill="9CC2E5" w:themeFill="accent1" w:themeFillTint="99"/>
            <w:tcMar>
              <w:top w:w="0" w:type="dxa"/>
              <w:left w:w="115" w:type="dxa"/>
              <w:bottom w:w="0" w:type="dxa"/>
              <w:right w:w="115" w:type="dxa"/>
            </w:tcMar>
            <w:hideMark/>
          </w:tcPr>
          <w:p w14:paraId="6B4F53D7" w14:textId="77777777" w:rsidR="003F7D2B" w:rsidRPr="00C664B8" w:rsidRDefault="003F7D2B">
            <w:pPr>
              <w:jc w:val="center"/>
              <w:rPr>
                <w:rFonts w:ascii="Arial" w:hAnsi="Arial" w:cs="Arial"/>
                <w:b/>
                <w:bCs/>
                <w:sz w:val="24"/>
                <w:szCs w:val="24"/>
              </w:rPr>
            </w:pPr>
            <w:r w:rsidRPr="00C664B8">
              <w:rPr>
                <w:rFonts w:ascii="Arial" w:hAnsi="Arial" w:cs="Arial"/>
                <w:b/>
                <w:bCs/>
                <w:sz w:val="24"/>
                <w:szCs w:val="24"/>
              </w:rPr>
              <w:t>State Response</w:t>
            </w:r>
          </w:p>
        </w:tc>
      </w:tr>
      <w:tr w:rsidR="00C664B8" w:rsidRPr="00C664B8" w14:paraId="41C0EAD3" w14:textId="77777777" w:rsidTr="003833A8">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6BC4B524" w14:textId="007879B8"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74661A37" w14:textId="53B9ECB1" w:rsidR="003F7D2B" w:rsidRPr="00C664B8" w:rsidRDefault="003F7D2B">
            <w:pPr>
              <w:rPr>
                <w:rFonts w:ascii="Arial" w:hAnsi="Arial" w:cs="Arial"/>
                <w:sz w:val="24"/>
                <w:szCs w:val="24"/>
              </w:rPr>
            </w:pPr>
            <w:proofErr w:type="gramStart"/>
            <w:r w:rsidRPr="00C664B8">
              <w:rPr>
                <w:rFonts w:ascii="Arial" w:hAnsi="Arial" w:cs="Arial"/>
                <w:sz w:val="24"/>
                <w:szCs w:val="24"/>
              </w:rPr>
              <w:t xml:space="preserve">Are </w:t>
            </w:r>
            <w:r w:rsidR="004F0043">
              <w:rPr>
                <w:rFonts w:ascii="Arial" w:hAnsi="Arial" w:cs="Arial"/>
                <w:sz w:val="24"/>
                <w:szCs w:val="24"/>
              </w:rPr>
              <w:t xml:space="preserve">BH </w:t>
            </w:r>
            <w:r w:rsidRPr="00C664B8">
              <w:rPr>
                <w:rFonts w:ascii="Arial" w:hAnsi="Arial" w:cs="Arial"/>
                <w:sz w:val="24"/>
                <w:szCs w:val="24"/>
              </w:rPr>
              <w:t>HCBS</w:t>
            </w:r>
            <w:r w:rsidR="004F0043">
              <w:rPr>
                <w:rFonts w:ascii="Arial" w:hAnsi="Arial" w:cs="Arial"/>
                <w:sz w:val="24"/>
                <w:szCs w:val="24"/>
              </w:rPr>
              <w:t xml:space="preserve"> eligibility</w:t>
            </w:r>
            <w:r w:rsidRPr="00C664B8">
              <w:rPr>
                <w:rFonts w:ascii="Arial" w:hAnsi="Arial" w:cs="Arial"/>
                <w:sz w:val="24"/>
                <w:szCs w:val="24"/>
              </w:rPr>
              <w:t xml:space="preserve"> denials considered</w:t>
            </w:r>
            <w:proofErr w:type="gramEnd"/>
            <w:r w:rsidRPr="00C664B8">
              <w:rPr>
                <w:rFonts w:ascii="Arial" w:hAnsi="Arial" w:cs="Arial"/>
                <w:sz w:val="24"/>
                <w:szCs w:val="24"/>
              </w:rPr>
              <w:t xml:space="preserve"> medical necessity denials that can be appealed to DFS external appeals or are they administrative denials that follow the path to fair hearing only?</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0C089ECE" w14:textId="0C063C1F" w:rsidR="007138D2" w:rsidRPr="00C664B8" w:rsidRDefault="004F0043" w:rsidP="00CB191D">
            <w:pPr>
              <w:rPr>
                <w:rFonts w:ascii="Arial" w:hAnsi="Arial" w:cs="Arial"/>
                <w:sz w:val="24"/>
                <w:szCs w:val="24"/>
              </w:rPr>
            </w:pPr>
            <w:r w:rsidRPr="004F0043">
              <w:rPr>
                <w:rFonts w:ascii="Arial" w:hAnsi="Arial" w:cs="Arial"/>
                <w:sz w:val="24"/>
                <w:szCs w:val="24"/>
              </w:rPr>
              <w:t xml:space="preserve">These decisions </w:t>
            </w:r>
            <w:proofErr w:type="gramStart"/>
            <w:r w:rsidRPr="004F0043">
              <w:rPr>
                <w:rFonts w:ascii="Arial" w:hAnsi="Arial" w:cs="Arial"/>
                <w:sz w:val="24"/>
                <w:szCs w:val="24"/>
              </w:rPr>
              <w:t>are made</w:t>
            </w:r>
            <w:proofErr w:type="gramEnd"/>
            <w:r w:rsidRPr="004F0043">
              <w:rPr>
                <w:rFonts w:ascii="Arial" w:hAnsi="Arial" w:cs="Arial"/>
                <w:sz w:val="24"/>
                <w:szCs w:val="24"/>
              </w:rPr>
              <w:t xml:space="preserve"> pursuant to a State assessment tool and are not an MCO determination.  An enrollee or their representative may request a fair hearing to appeal decisions about eligibility for Behavioral Health Home and Community Based Services. </w:t>
            </w:r>
          </w:p>
        </w:tc>
      </w:tr>
      <w:tr w:rsidR="00C664B8" w:rsidRPr="00C664B8" w14:paraId="7BAFC996" w14:textId="77777777" w:rsidTr="003833A8">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20FD7E04" w14:textId="28E22704"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37D81F5E" w14:textId="77777777" w:rsidR="003F7D2B" w:rsidRPr="00C664B8" w:rsidRDefault="00CB191D">
            <w:pPr>
              <w:rPr>
                <w:rFonts w:ascii="Arial" w:hAnsi="Arial" w:cs="Arial"/>
                <w:sz w:val="24"/>
                <w:szCs w:val="24"/>
              </w:rPr>
            </w:pPr>
            <w:r w:rsidRPr="00C664B8">
              <w:rPr>
                <w:rFonts w:ascii="Arial" w:hAnsi="Arial" w:cs="Arial"/>
                <w:sz w:val="24"/>
                <w:szCs w:val="24"/>
              </w:rPr>
              <w:t>Are upstate P</w:t>
            </w:r>
            <w:r w:rsidR="003F7D2B" w:rsidRPr="00C664B8">
              <w:rPr>
                <w:rFonts w:ascii="Arial" w:hAnsi="Arial" w:cs="Arial"/>
                <w:sz w:val="24"/>
                <w:szCs w:val="24"/>
              </w:rPr>
              <w:t>lans required to use MCTAC for trainings or is it optional?</w:t>
            </w:r>
          </w:p>
        </w:tc>
        <w:tc>
          <w:tcPr>
            <w:tcW w:w="2418" w:type="pct"/>
            <w:tcBorders>
              <w:top w:val="nil"/>
              <w:left w:val="nil"/>
              <w:bottom w:val="single" w:sz="8" w:space="0" w:color="auto"/>
              <w:right w:val="single" w:sz="8" w:space="0" w:color="auto"/>
            </w:tcBorders>
            <w:tcMar>
              <w:top w:w="0" w:type="dxa"/>
              <w:left w:w="115" w:type="dxa"/>
              <w:bottom w:w="0" w:type="dxa"/>
              <w:right w:w="115" w:type="dxa"/>
            </w:tcMar>
          </w:tcPr>
          <w:p w14:paraId="793830A9" w14:textId="77777777" w:rsidR="003F7D2B" w:rsidRPr="00600B2D" w:rsidRDefault="007138D2" w:rsidP="007138D2">
            <w:pPr>
              <w:pStyle w:val="PlainText"/>
              <w:rPr>
                <w:rFonts w:ascii="Arial" w:hAnsi="Arial" w:cs="Arial"/>
                <w:spacing w:val="-4"/>
                <w:sz w:val="24"/>
                <w:szCs w:val="24"/>
              </w:rPr>
            </w:pPr>
            <w:r w:rsidRPr="00600B2D">
              <w:rPr>
                <w:rFonts w:ascii="Arial" w:hAnsi="Arial" w:cs="Arial"/>
                <w:spacing w:val="-4"/>
                <w:sz w:val="24"/>
                <w:szCs w:val="24"/>
              </w:rPr>
              <w:t xml:space="preserve">MCTAC offers state funded training for providers.  Additional Plan specific provider training </w:t>
            </w:r>
            <w:r w:rsidR="003F7D2B" w:rsidRPr="00600B2D">
              <w:rPr>
                <w:rFonts w:ascii="Arial" w:hAnsi="Arial" w:cs="Arial"/>
                <w:spacing w:val="-4"/>
                <w:sz w:val="24"/>
                <w:szCs w:val="24"/>
              </w:rPr>
              <w:t>should be coordina</w:t>
            </w:r>
            <w:bookmarkStart w:id="0" w:name="_GoBack"/>
            <w:bookmarkEnd w:id="0"/>
            <w:r w:rsidR="003F7D2B" w:rsidRPr="00600B2D">
              <w:rPr>
                <w:rFonts w:ascii="Arial" w:hAnsi="Arial" w:cs="Arial"/>
                <w:spacing w:val="-4"/>
                <w:sz w:val="24"/>
                <w:szCs w:val="24"/>
              </w:rPr>
              <w:t>ted through the RPCs.</w:t>
            </w:r>
            <w:r w:rsidRPr="00600B2D">
              <w:rPr>
                <w:rFonts w:ascii="Arial" w:hAnsi="Arial" w:cs="Arial"/>
                <w:spacing w:val="-4"/>
                <w:sz w:val="24"/>
                <w:szCs w:val="24"/>
              </w:rPr>
              <w:t xml:space="preserve"> </w:t>
            </w:r>
          </w:p>
        </w:tc>
      </w:tr>
      <w:tr w:rsidR="00C664B8" w:rsidRPr="00C664B8" w14:paraId="6DFB9538" w14:textId="77777777" w:rsidTr="003833A8">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21D58BFC" w14:textId="06FF8D83"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18680C34" w14:textId="77777777" w:rsidR="003F7D2B" w:rsidRPr="00C664B8" w:rsidRDefault="003F7D2B">
            <w:pPr>
              <w:rPr>
                <w:rFonts w:ascii="Arial" w:hAnsi="Arial" w:cs="Arial"/>
                <w:sz w:val="24"/>
                <w:szCs w:val="24"/>
              </w:rPr>
            </w:pPr>
            <w:r w:rsidRPr="00C664B8">
              <w:rPr>
                <w:rFonts w:ascii="Arial" w:hAnsi="Arial" w:cs="Arial"/>
                <w:sz w:val="24"/>
                <w:szCs w:val="24"/>
              </w:rPr>
              <w:t>Can the agencies allow attachments (for Bios) for all questions speaking to key staff/leadership?</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6AA8EF92" w14:textId="77777777" w:rsidR="003F7D2B" w:rsidRPr="00C664B8" w:rsidRDefault="007138D2" w:rsidP="007138D2">
            <w:pPr>
              <w:rPr>
                <w:rFonts w:ascii="Arial" w:hAnsi="Arial" w:cs="Arial"/>
                <w:sz w:val="24"/>
                <w:szCs w:val="24"/>
              </w:rPr>
            </w:pPr>
            <w:r w:rsidRPr="00C664B8">
              <w:rPr>
                <w:rFonts w:ascii="Arial" w:hAnsi="Arial" w:cs="Arial"/>
                <w:sz w:val="24"/>
                <w:szCs w:val="24"/>
              </w:rPr>
              <w:t>Attachments for key staff/leadership bios are</w:t>
            </w:r>
            <w:r w:rsidR="003F7D2B" w:rsidRPr="00C664B8">
              <w:rPr>
                <w:rFonts w:ascii="Arial" w:hAnsi="Arial" w:cs="Arial"/>
                <w:sz w:val="24"/>
                <w:szCs w:val="24"/>
              </w:rPr>
              <w:t xml:space="preserve"> acceptable.</w:t>
            </w:r>
          </w:p>
        </w:tc>
      </w:tr>
      <w:tr w:rsidR="00C664B8" w:rsidRPr="00C664B8" w14:paraId="35DB7254" w14:textId="77777777" w:rsidTr="003833A8">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679875BC" w14:textId="14E49D64"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5EE998D1" w14:textId="77777777" w:rsidR="003F7D2B" w:rsidRPr="00C664B8" w:rsidRDefault="003F7D2B" w:rsidP="00CB191D">
            <w:pPr>
              <w:rPr>
                <w:rFonts w:ascii="Arial" w:hAnsi="Arial" w:cs="Arial"/>
                <w:sz w:val="24"/>
                <w:szCs w:val="24"/>
              </w:rPr>
            </w:pPr>
            <w:r w:rsidRPr="00C664B8">
              <w:rPr>
                <w:rFonts w:ascii="Arial" w:hAnsi="Arial" w:cs="Arial"/>
                <w:sz w:val="24"/>
                <w:szCs w:val="24"/>
              </w:rPr>
              <w:t xml:space="preserve">What codes </w:t>
            </w:r>
            <w:proofErr w:type="gramStart"/>
            <w:r w:rsidR="00CB191D" w:rsidRPr="00C664B8">
              <w:rPr>
                <w:rFonts w:ascii="Arial" w:hAnsi="Arial" w:cs="Arial"/>
                <w:sz w:val="24"/>
                <w:szCs w:val="24"/>
              </w:rPr>
              <w:t>will be</w:t>
            </w:r>
            <w:r w:rsidRPr="00C664B8">
              <w:rPr>
                <w:rFonts w:ascii="Arial" w:hAnsi="Arial" w:cs="Arial"/>
                <w:sz w:val="24"/>
                <w:szCs w:val="24"/>
              </w:rPr>
              <w:t xml:space="preserve"> used</w:t>
            </w:r>
            <w:proofErr w:type="gramEnd"/>
            <w:r w:rsidRPr="00C664B8">
              <w:rPr>
                <w:rFonts w:ascii="Arial" w:hAnsi="Arial" w:cs="Arial"/>
                <w:sz w:val="24"/>
                <w:szCs w:val="24"/>
              </w:rPr>
              <w:t xml:space="preserve"> by health homes to bill plans for these</w:t>
            </w:r>
            <w:r w:rsidR="00C664B8">
              <w:rPr>
                <w:rFonts w:ascii="Arial" w:hAnsi="Arial" w:cs="Arial"/>
                <w:sz w:val="24"/>
                <w:szCs w:val="24"/>
              </w:rPr>
              <w:t xml:space="preserve"> BH HCBS</w:t>
            </w:r>
            <w:r w:rsidRPr="00C664B8">
              <w:rPr>
                <w:rFonts w:ascii="Arial" w:hAnsi="Arial" w:cs="Arial"/>
                <w:sz w:val="24"/>
                <w:szCs w:val="24"/>
              </w:rPr>
              <w:t xml:space="preserve"> assessments?  Are they in the billing manual?</w:t>
            </w:r>
          </w:p>
        </w:tc>
        <w:tc>
          <w:tcPr>
            <w:tcW w:w="2418" w:type="pct"/>
            <w:tcBorders>
              <w:top w:val="nil"/>
              <w:left w:val="nil"/>
              <w:bottom w:val="single" w:sz="8" w:space="0" w:color="auto"/>
              <w:right w:val="single" w:sz="8" w:space="0" w:color="auto"/>
            </w:tcBorders>
            <w:tcMar>
              <w:top w:w="0" w:type="dxa"/>
              <w:left w:w="115" w:type="dxa"/>
              <w:bottom w:w="0" w:type="dxa"/>
              <w:right w:w="115" w:type="dxa"/>
            </w:tcMar>
          </w:tcPr>
          <w:p w14:paraId="42987CDE" w14:textId="77777777" w:rsidR="003F7D2B" w:rsidRPr="00C664B8" w:rsidRDefault="003F7D2B">
            <w:pPr>
              <w:rPr>
                <w:rFonts w:ascii="Arial" w:hAnsi="Arial" w:cs="Arial"/>
                <w:sz w:val="24"/>
                <w:szCs w:val="24"/>
              </w:rPr>
            </w:pPr>
            <w:r w:rsidRPr="00C664B8">
              <w:rPr>
                <w:rFonts w:ascii="Arial" w:hAnsi="Arial" w:cs="Arial"/>
                <w:sz w:val="24"/>
                <w:szCs w:val="24"/>
              </w:rPr>
              <w:t xml:space="preserve">Rate codes for the assessment are in the billing </w:t>
            </w:r>
            <w:proofErr w:type="gramStart"/>
            <w:r w:rsidRPr="00C664B8">
              <w:rPr>
                <w:rFonts w:ascii="Arial" w:hAnsi="Arial" w:cs="Arial"/>
                <w:sz w:val="24"/>
                <w:szCs w:val="24"/>
              </w:rPr>
              <w:t>manual which</w:t>
            </w:r>
            <w:proofErr w:type="gramEnd"/>
            <w:r w:rsidRPr="00C664B8">
              <w:rPr>
                <w:rFonts w:ascii="Arial" w:hAnsi="Arial" w:cs="Arial"/>
                <w:sz w:val="24"/>
                <w:szCs w:val="24"/>
              </w:rPr>
              <w:t xml:space="preserve"> can be found on the OMH website.</w:t>
            </w:r>
          </w:p>
          <w:p w14:paraId="6EFB1C8C" w14:textId="77777777" w:rsidR="003F7D2B" w:rsidRPr="00C664B8" w:rsidRDefault="003F7D2B">
            <w:pPr>
              <w:rPr>
                <w:rFonts w:ascii="Arial" w:hAnsi="Arial" w:cs="Arial"/>
                <w:sz w:val="24"/>
                <w:szCs w:val="24"/>
              </w:rPr>
            </w:pPr>
          </w:p>
          <w:p w14:paraId="32832723" w14:textId="77777777" w:rsidR="003F7D2B" w:rsidRPr="00C664B8" w:rsidRDefault="003833A8">
            <w:pPr>
              <w:rPr>
                <w:rFonts w:ascii="Arial" w:hAnsi="Arial" w:cs="Arial"/>
                <w:sz w:val="24"/>
                <w:szCs w:val="24"/>
              </w:rPr>
            </w:pPr>
            <w:hyperlink r:id="rId8" w:history="1">
              <w:r w:rsidR="003F7D2B" w:rsidRPr="00C664B8">
                <w:rPr>
                  <w:rStyle w:val="Hyperlink"/>
                  <w:rFonts w:cs="Arial"/>
                  <w:color w:val="auto"/>
                  <w:sz w:val="24"/>
                  <w:szCs w:val="24"/>
                </w:rPr>
                <w:t>http://omh.ny.gov/omhweb/bho/billing-services.html</w:t>
              </w:r>
            </w:hyperlink>
            <w:r w:rsidR="003F7D2B" w:rsidRPr="00C664B8">
              <w:rPr>
                <w:rFonts w:ascii="Arial" w:hAnsi="Arial" w:cs="Arial"/>
                <w:sz w:val="24"/>
                <w:szCs w:val="24"/>
              </w:rPr>
              <w:t xml:space="preserve"> </w:t>
            </w:r>
          </w:p>
          <w:p w14:paraId="6C81425A" w14:textId="77777777" w:rsidR="003F7D2B" w:rsidRPr="00C664B8" w:rsidRDefault="003F7D2B">
            <w:pPr>
              <w:rPr>
                <w:rFonts w:ascii="Arial" w:hAnsi="Arial" w:cs="Arial"/>
                <w:sz w:val="24"/>
                <w:szCs w:val="24"/>
              </w:rPr>
            </w:pPr>
          </w:p>
        </w:tc>
      </w:tr>
      <w:tr w:rsidR="00C664B8" w:rsidRPr="00C664B8" w14:paraId="375C395E" w14:textId="77777777" w:rsidTr="003833A8">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EBDCF44" w14:textId="2176C967"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12C539E0" w14:textId="77777777" w:rsidR="003F7D2B" w:rsidRPr="00C664B8" w:rsidRDefault="003F7D2B">
            <w:pPr>
              <w:rPr>
                <w:rFonts w:ascii="Arial" w:hAnsi="Arial" w:cs="Arial"/>
                <w:sz w:val="24"/>
                <w:szCs w:val="24"/>
              </w:rPr>
            </w:pPr>
            <w:r w:rsidRPr="00C664B8">
              <w:rPr>
                <w:rFonts w:ascii="Arial" w:hAnsi="Arial" w:cs="Arial"/>
                <w:sz w:val="24"/>
                <w:szCs w:val="24"/>
              </w:rPr>
              <w:t>Is Mobile Crisis pa</w:t>
            </w:r>
            <w:r w:rsidR="00CB191D" w:rsidRPr="00C664B8">
              <w:rPr>
                <w:rFonts w:ascii="Arial" w:hAnsi="Arial" w:cs="Arial"/>
                <w:sz w:val="24"/>
                <w:szCs w:val="24"/>
              </w:rPr>
              <w:t xml:space="preserve">rt of the mainstream plans?  Does </w:t>
            </w:r>
            <w:r w:rsidRPr="00C664B8">
              <w:rPr>
                <w:rFonts w:ascii="Arial" w:hAnsi="Arial" w:cs="Arial"/>
                <w:sz w:val="24"/>
                <w:szCs w:val="24"/>
              </w:rPr>
              <w:t xml:space="preserve">short term and intensive services remain with HCBS?  </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3349F582" w14:textId="77777777" w:rsidR="003F7D2B" w:rsidRPr="00C664B8" w:rsidRDefault="003F7D2B">
            <w:pPr>
              <w:rPr>
                <w:rFonts w:ascii="Arial" w:hAnsi="Arial" w:cs="Arial"/>
                <w:sz w:val="24"/>
                <w:szCs w:val="24"/>
              </w:rPr>
            </w:pPr>
            <w:r w:rsidRPr="00C664B8">
              <w:rPr>
                <w:rFonts w:ascii="Arial" w:hAnsi="Arial" w:cs="Arial"/>
                <w:sz w:val="24"/>
                <w:szCs w:val="24"/>
              </w:rPr>
              <w:t xml:space="preserve">Crisis </w:t>
            </w:r>
            <w:proofErr w:type="gramStart"/>
            <w:r w:rsidRPr="00C664B8">
              <w:rPr>
                <w:rFonts w:ascii="Arial" w:hAnsi="Arial" w:cs="Arial"/>
                <w:sz w:val="24"/>
                <w:szCs w:val="24"/>
              </w:rPr>
              <w:t>intervention which is inclusive of mobile crisis</w:t>
            </w:r>
            <w:proofErr w:type="gramEnd"/>
            <w:r w:rsidRPr="00C664B8">
              <w:rPr>
                <w:rFonts w:ascii="Arial" w:hAnsi="Arial" w:cs="Arial"/>
                <w:sz w:val="24"/>
                <w:szCs w:val="24"/>
              </w:rPr>
              <w:t xml:space="preserve"> is available to all individuals enrolled in Medicaid Managed Care.  Short term and inten</w:t>
            </w:r>
            <w:r w:rsidR="00BC1C30" w:rsidRPr="00C664B8">
              <w:rPr>
                <w:rFonts w:ascii="Arial" w:hAnsi="Arial" w:cs="Arial"/>
                <w:sz w:val="24"/>
                <w:szCs w:val="24"/>
              </w:rPr>
              <w:t>sive crisis respite remain as a BH</w:t>
            </w:r>
            <w:r w:rsidRPr="00C664B8">
              <w:rPr>
                <w:rFonts w:ascii="Arial" w:hAnsi="Arial" w:cs="Arial"/>
                <w:sz w:val="24"/>
                <w:szCs w:val="24"/>
              </w:rPr>
              <w:t xml:space="preserve"> HCBS.</w:t>
            </w:r>
          </w:p>
        </w:tc>
      </w:tr>
      <w:tr w:rsidR="00C664B8" w:rsidRPr="00C664B8" w14:paraId="6C9C0593"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6811AD61" w14:textId="65193BDC"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0935411A" w14:textId="77777777" w:rsidR="003F7D2B" w:rsidRPr="00C664B8" w:rsidRDefault="003F7D2B" w:rsidP="00C664B8">
            <w:pPr>
              <w:rPr>
                <w:rFonts w:ascii="Arial" w:hAnsi="Arial" w:cs="Arial"/>
                <w:sz w:val="24"/>
                <w:szCs w:val="24"/>
              </w:rPr>
            </w:pPr>
            <w:r w:rsidRPr="00C664B8">
              <w:rPr>
                <w:rFonts w:ascii="Arial" w:hAnsi="Arial" w:cs="Arial"/>
                <w:sz w:val="24"/>
                <w:szCs w:val="24"/>
              </w:rPr>
              <w:t xml:space="preserve">Will the </w:t>
            </w:r>
            <w:r w:rsidR="00C664B8">
              <w:rPr>
                <w:rFonts w:ascii="Arial" w:hAnsi="Arial" w:cs="Arial"/>
                <w:sz w:val="24"/>
                <w:szCs w:val="24"/>
              </w:rPr>
              <w:t>S</w:t>
            </w:r>
            <w:r w:rsidRPr="00C664B8">
              <w:rPr>
                <w:rFonts w:ascii="Arial" w:hAnsi="Arial" w:cs="Arial"/>
                <w:sz w:val="24"/>
                <w:szCs w:val="24"/>
              </w:rPr>
              <w:t>tate reimburse the MCO for time at fair hearing</w:t>
            </w:r>
            <w:r w:rsidR="00C664B8">
              <w:rPr>
                <w:rFonts w:ascii="Arial" w:hAnsi="Arial" w:cs="Arial"/>
                <w:sz w:val="24"/>
                <w:szCs w:val="24"/>
              </w:rPr>
              <w:t>s</w:t>
            </w:r>
            <w:r w:rsidRPr="00C664B8">
              <w:rPr>
                <w:rFonts w:ascii="Arial" w:hAnsi="Arial" w:cs="Arial"/>
                <w:sz w:val="24"/>
                <w:szCs w:val="24"/>
              </w:rPr>
              <w:t xml:space="preserve">?  </w:t>
            </w:r>
            <w:proofErr w:type="gramStart"/>
            <w:r w:rsidRPr="00C664B8">
              <w:rPr>
                <w:rFonts w:ascii="Arial" w:hAnsi="Arial" w:cs="Arial"/>
                <w:sz w:val="24"/>
                <w:szCs w:val="24"/>
              </w:rPr>
              <w:t>Can fair hearings be conducted</w:t>
            </w:r>
            <w:proofErr w:type="gramEnd"/>
            <w:r w:rsidRPr="00C664B8">
              <w:rPr>
                <w:rFonts w:ascii="Arial" w:hAnsi="Arial" w:cs="Arial"/>
                <w:sz w:val="24"/>
                <w:szCs w:val="24"/>
              </w:rPr>
              <w:t xml:space="preserve"> at MCO headquarters?</w:t>
            </w:r>
          </w:p>
        </w:tc>
        <w:tc>
          <w:tcPr>
            <w:tcW w:w="2418" w:type="pct"/>
            <w:tcBorders>
              <w:top w:val="nil"/>
              <w:left w:val="nil"/>
              <w:bottom w:val="single" w:sz="8" w:space="0" w:color="auto"/>
              <w:right w:val="single" w:sz="8" w:space="0" w:color="auto"/>
            </w:tcBorders>
            <w:tcMar>
              <w:top w:w="0" w:type="dxa"/>
              <w:left w:w="115" w:type="dxa"/>
              <w:bottom w:w="0" w:type="dxa"/>
              <w:right w:w="115" w:type="dxa"/>
            </w:tcMar>
          </w:tcPr>
          <w:p w14:paraId="71553340" w14:textId="291A975F" w:rsidR="003F7D2B" w:rsidRPr="00C664B8" w:rsidRDefault="004F0043" w:rsidP="00BC1C30">
            <w:pPr>
              <w:rPr>
                <w:rFonts w:ascii="Arial" w:hAnsi="Arial" w:cs="Arial"/>
                <w:sz w:val="24"/>
                <w:szCs w:val="24"/>
              </w:rPr>
            </w:pPr>
            <w:r w:rsidRPr="004F0043">
              <w:rPr>
                <w:rFonts w:ascii="Arial" w:hAnsi="Arial" w:cs="Arial"/>
                <w:sz w:val="24"/>
                <w:szCs w:val="24"/>
              </w:rPr>
              <w:t xml:space="preserve">No changes </w:t>
            </w:r>
            <w:proofErr w:type="gramStart"/>
            <w:r w:rsidRPr="004F0043">
              <w:rPr>
                <w:rFonts w:ascii="Arial" w:hAnsi="Arial" w:cs="Arial"/>
                <w:sz w:val="24"/>
                <w:szCs w:val="24"/>
              </w:rPr>
              <w:t>will be made</w:t>
            </w:r>
            <w:proofErr w:type="gramEnd"/>
            <w:r w:rsidRPr="004F0043">
              <w:rPr>
                <w:rFonts w:ascii="Arial" w:hAnsi="Arial" w:cs="Arial"/>
                <w:sz w:val="24"/>
                <w:szCs w:val="24"/>
              </w:rPr>
              <w:t xml:space="preserve"> to the grievances and appeals process including the fair hearing process. See also 18 NYCRR Part 360-10.8 and the Medicaid Managed Care Model Contract Section 25.</w:t>
            </w:r>
          </w:p>
        </w:tc>
      </w:tr>
      <w:tr w:rsidR="00C664B8" w:rsidRPr="00C664B8" w14:paraId="5D8542FD"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88EC4D3" w14:textId="141A5B67"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5821A632" w14:textId="77777777" w:rsidR="003F7D2B" w:rsidRPr="00C664B8" w:rsidRDefault="003F7D2B" w:rsidP="00C664B8">
            <w:pPr>
              <w:rPr>
                <w:rFonts w:ascii="Arial" w:hAnsi="Arial" w:cs="Arial"/>
                <w:sz w:val="24"/>
                <w:szCs w:val="24"/>
              </w:rPr>
            </w:pPr>
            <w:r w:rsidRPr="00C664B8">
              <w:rPr>
                <w:rFonts w:ascii="Arial" w:hAnsi="Arial" w:cs="Arial"/>
                <w:sz w:val="24"/>
                <w:szCs w:val="24"/>
              </w:rPr>
              <w:t xml:space="preserve">What recourse is there for </w:t>
            </w:r>
            <w:proofErr w:type="gramStart"/>
            <w:r w:rsidRPr="00C664B8">
              <w:rPr>
                <w:rFonts w:ascii="Arial" w:hAnsi="Arial" w:cs="Arial"/>
                <w:sz w:val="24"/>
                <w:szCs w:val="24"/>
              </w:rPr>
              <w:t>MCO’s</w:t>
            </w:r>
            <w:proofErr w:type="gramEnd"/>
            <w:r w:rsidRPr="00C664B8">
              <w:rPr>
                <w:rFonts w:ascii="Arial" w:hAnsi="Arial" w:cs="Arial"/>
                <w:sz w:val="24"/>
                <w:szCs w:val="24"/>
              </w:rPr>
              <w:t xml:space="preserve"> whose Health Homes are unable to complete tasks or revise the POC, after MCO review and recommendations are given for revision?</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7D302521" w14:textId="77777777" w:rsidR="00C50830" w:rsidRPr="00C50830" w:rsidRDefault="00C50830" w:rsidP="00C50830">
            <w:pPr>
              <w:rPr>
                <w:rFonts w:ascii="Arial" w:hAnsi="Arial" w:cs="Arial"/>
                <w:sz w:val="24"/>
                <w:szCs w:val="24"/>
              </w:rPr>
            </w:pPr>
            <w:r w:rsidRPr="00C50830">
              <w:rPr>
                <w:rFonts w:ascii="Arial" w:hAnsi="Arial" w:cs="Arial"/>
                <w:sz w:val="24"/>
                <w:szCs w:val="24"/>
              </w:rPr>
              <w:t xml:space="preserve">The MCO should work with the Health Home to reach a resolution. If resolution cannot be </w:t>
            </w:r>
            <w:proofErr w:type="gramStart"/>
            <w:r w:rsidRPr="00C50830">
              <w:rPr>
                <w:rFonts w:ascii="Arial" w:hAnsi="Arial" w:cs="Arial"/>
                <w:sz w:val="24"/>
                <w:szCs w:val="24"/>
              </w:rPr>
              <w:t>reached</w:t>
            </w:r>
            <w:proofErr w:type="gramEnd"/>
            <w:r w:rsidRPr="00C50830">
              <w:rPr>
                <w:rFonts w:ascii="Arial" w:hAnsi="Arial" w:cs="Arial"/>
                <w:sz w:val="24"/>
                <w:szCs w:val="24"/>
              </w:rPr>
              <w:t xml:space="preserve"> the member can be reassigned to another Health Home. </w:t>
            </w:r>
          </w:p>
          <w:p w14:paraId="1DF1BA50" w14:textId="0C2D1A58" w:rsidR="003F7D2B" w:rsidRPr="00C664B8" w:rsidRDefault="00C50830" w:rsidP="003F7D2B">
            <w:pPr>
              <w:rPr>
                <w:rFonts w:ascii="Arial" w:hAnsi="Arial" w:cs="Arial"/>
                <w:sz w:val="24"/>
                <w:szCs w:val="24"/>
              </w:rPr>
            </w:pPr>
            <w:r w:rsidRPr="00C50830">
              <w:rPr>
                <w:rFonts w:ascii="Arial" w:hAnsi="Arial" w:cs="Arial"/>
                <w:sz w:val="24"/>
                <w:szCs w:val="24"/>
              </w:rPr>
              <w:t>NYS is in the process of revising the template ASA to clarify that an MCO can terminate its contract with a Health Home if the Health Home fails to </w:t>
            </w:r>
            <w:r w:rsidRPr="003714BD">
              <w:rPr>
                <w:rFonts w:ascii="Arial" w:hAnsi="Arial" w:cs="Arial"/>
                <w:sz w:val="24"/>
                <w:szCs w:val="24"/>
              </w:rPr>
              <w:t xml:space="preserve">follow MCO protocols, provided the Health Home </w:t>
            </w:r>
            <w:proofErr w:type="gramStart"/>
            <w:r w:rsidRPr="003714BD">
              <w:rPr>
                <w:rFonts w:ascii="Arial" w:hAnsi="Arial" w:cs="Arial"/>
                <w:sz w:val="24"/>
                <w:szCs w:val="24"/>
              </w:rPr>
              <w:t>is given</w:t>
            </w:r>
            <w:proofErr w:type="gramEnd"/>
            <w:r w:rsidRPr="003714BD">
              <w:rPr>
                <w:rFonts w:ascii="Arial" w:hAnsi="Arial" w:cs="Arial"/>
                <w:sz w:val="24"/>
                <w:szCs w:val="24"/>
              </w:rPr>
              <w:t xml:space="preserve"> 60 days to first remediate the issue. The MCO should only pursue this option if efforts to work collaboratively with the Health Home have not proved successful.</w:t>
            </w:r>
          </w:p>
        </w:tc>
      </w:tr>
      <w:tr w:rsidR="00C664B8" w:rsidRPr="00C664B8" w14:paraId="45EA3393"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5C67B907" w14:textId="52312C93"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12322893" w14:textId="77777777" w:rsidR="003F7D2B" w:rsidRPr="00C664B8" w:rsidRDefault="003F7D2B">
            <w:pPr>
              <w:rPr>
                <w:rFonts w:ascii="Arial" w:hAnsi="Arial" w:cs="Arial"/>
                <w:sz w:val="24"/>
                <w:szCs w:val="24"/>
              </w:rPr>
            </w:pPr>
            <w:proofErr w:type="gramStart"/>
            <w:r w:rsidRPr="00C664B8">
              <w:rPr>
                <w:rFonts w:ascii="Arial" w:hAnsi="Arial" w:cs="Arial"/>
                <w:sz w:val="24"/>
                <w:szCs w:val="24"/>
              </w:rPr>
              <w:t>Are the Tier 1 &amp; 2 accumulators calculated</w:t>
            </w:r>
            <w:proofErr w:type="gramEnd"/>
            <w:r w:rsidRPr="00C664B8">
              <w:rPr>
                <w:rFonts w:ascii="Arial" w:hAnsi="Arial" w:cs="Arial"/>
                <w:sz w:val="24"/>
                <w:szCs w:val="24"/>
              </w:rPr>
              <w:t xml:space="preserve"> on an annual basis or a rolling 12 months?  If rolling, how </w:t>
            </w:r>
            <w:proofErr w:type="gramStart"/>
            <w:r w:rsidRPr="00C664B8">
              <w:rPr>
                <w:rFonts w:ascii="Arial" w:hAnsi="Arial" w:cs="Arial"/>
                <w:sz w:val="24"/>
                <w:szCs w:val="24"/>
              </w:rPr>
              <w:t>is rolling defined</w:t>
            </w:r>
            <w:proofErr w:type="gramEnd"/>
            <w:r w:rsidRPr="00C664B8">
              <w:rPr>
                <w:rFonts w:ascii="Arial" w:hAnsi="Arial" w:cs="Arial"/>
                <w:sz w:val="24"/>
                <w:szCs w:val="24"/>
              </w:rPr>
              <w:t>?</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294B3984" w14:textId="77777777" w:rsidR="003F7D2B" w:rsidRPr="00C664B8" w:rsidRDefault="003F7D2B" w:rsidP="006A1DB7">
            <w:pPr>
              <w:rPr>
                <w:rFonts w:ascii="Arial" w:hAnsi="Arial" w:cs="Arial"/>
                <w:sz w:val="24"/>
                <w:szCs w:val="24"/>
              </w:rPr>
            </w:pPr>
            <w:r w:rsidRPr="00C664B8">
              <w:rPr>
                <w:rFonts w:ascii="Arial" w:hAnsi="Arial" w:cs="Arial"/>
                <w:sz w:val="24"/>
                <w:szCs w:val="24"/>
              </w:rPr>
              <w:t>NYS has determined that the BH HCBS Tier 1 and 2 accumu</w:t>
            </w:r>
            <w:r w:rsidR="006A1DB7" w:rsidRPr="00C664B8">
              <w:rPr>
                <w:rFonts w:ascii="Arial" w:hAnsi="Arial" w:cs="Arial"/>
                <w:sz w:val="24"/>
                <w:szCs w:val="24"/>
              </w:rPr>
              <w:t xml:space="preserve">lators </w:t>
            </w:r>
            <w:proofErr w:type="gramStart"/>
            <w:r w:rsidR="006A1DB7" w:rsidRPr="00C664B8">
              <w:rPr>
                <w:rFonts w:ascii="Arial" w:hAnsi="Arial" w:cs="Arial"/>
                <w:sz w:val="24"/>
                <w:szCs w:val="24"/>
              </w:rPr>
              <w:t>will be calculated</w:t>
            </w:r>
            <w:proofErr w:type="gramEnd"/>
            <w:r w:rsidR="006A1DB7" w:rsidRPr="00C664B8">
              <w:rPr>
                <w:rFonts w:ascii="Arial" w:hAnsi="Arial" w:cs="Arial"/>
                <w:sz w:val="24"/>
                <w:szCs w:val="24"/>
              </w:rPr>
              <w:t xml:space="preserve"> on a calendar year </w:t>
            </w:r>
            <w:r w:rsidRPr="00C664B8">
              <w:rPr>
                <w:rFonts w:ascii="Arial" w:hAnsi="Arial" w:cs="Arial"/>
                <w:sz w:val="24"/>
                <w:szCs w:val="24"/>
              </w:rPr>
              <w:t xml:space="preserve">basis. </w:t>
            </w:r>
          </w:p>
        </w:tc>
      </w:tr>
      <w:tr w:rsidR="00C664B8" w:rsidRPr="00C664B8" w14:paraId="19257001"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4C97833" w14:textId="4387D90C"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001528A7" w14:textId="77777777" w:rsidR="003F7D2B" w:rsidRPr="00C664B8" w:rsidRDefault="003F7D2B">
            <w:pPr>
              <w:rPr>
                <w:rFonts w:ascii="Arial" w:hAnsi="Arial" w:cs="Arial"/>
                <w:sz w:val="24"/>
                <w:szCs w:val="24"/>
              </w:rPr>
            </w:pPr>
            <w:r w:rsidRPr="00C664B8">
              <w:rPr>
                <w:rFonts w:ascii="Arial" w:hAnsi="Arial" w:cs="Arial"/>
                <w:sz w:val="24"/>
                <w:szCs w:val="24"/>
              </w:rPr>
              <w:t>Can MCO’s refer members for HARP or does it have to rely on the state designation?</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46C54644" w14:textId="77777777" w:rsidR="003F7D2B" w:rsidRPr="00C664B8" w:rsidRDefault="003F7D2B" w:rsidP="003F7D2B">
            <w:pPr>
              <w:rPr>
                <w:rFonts w:ascii="Arial" w:hAnsi="Arial" w:cs="Arial"/>
                <w:sz w:val="24"/>
                <w:szCs w:val="24"/>
              </w:rPr>
            </w:pPr>
            <w:r w:rsidRPr="00C664B8">
              <w:rPr>
                <w:rFonts w:ascii="Arial" w:hAnsi="Arial" w:cs="Arial"/>
                <w:sz w:val="24"/>
                <w:szCs w:val="24"/>
              </w:rPr>
              <w:t xml:space="preserve">Currently HARP eligible individuals </w:t>
            </w:r>
            <w:proofErr w:type="gramStart"/>
            <w:r w:rsidRPr="00C664B8">
              <w:rPr>
                <w:rFonts w:ascii="Arial" w:hAnsi="Arial" w:cs="Arial"/>
                <w:sz w:val="24"/>
                <w:szCs w:val="24"/>
              </w:rPr>
              <w:t>are identified</w:t>
            </w:r>
            <w:proofErr w:type="gramEnd"/>
            <w:r w:rsidRPr="00C664B8">
              <w:rPr>
                <w:rFonts w:ascii="Arial" w:hAnsi="Arial" w:cs="Arial"/>
                <w:sz w:val="24"/>
                <w:szCs w:val="24"/>
              </w:rPr>
              <w:t xml:space="preserve"> by the State.  NYS is developing a process for community referrals.  </w:t>
            </w:r>
          </w:p>
        </w:tc>
      </w:tr>
      <w:tr w:rsidR="00C664B8" w:rsidRPr="00C664B8" w14:paraId="5BDBF383"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C469A8C" w14:textId="4D9E6C70"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4BA3D1F0" w14:textId="77777777" w:rsidR="003F7D2B" w:rsidRPr="00C664B8" w:rsidRDefault="003F7D2B">
            <w:pPr>
              <w:rPr>
                <w:rFonts w:ascii="Arial" w:hAnsi="Arial" w:cs="Arial"/>
                <w:sz w:val="24"/>
                <w:szCs w:val="24"/>
              </w:rPr>
            </w:pPr>
            <w:r w:rsidRPr="00C664B8">
              <w:rPr>
                <w:rFonts w:ascii="Arial" w:hAnsi="Arial" w:cs="Arial"/>
                <w:sz w:val="24"/>
                <w:szCs w:val="24"/>
              </w:rPr>
              <w:t>Will the medical necessity guidelines be finalized before the upstate RFQ due date?</w:t>
            </w:r>
          </w:p>
        </w:tc>
        <w:tc>
          <w:tcPr>
            <w:tcW w:w="2418" w:type="pct"/>
            <w:tcBorders>
              <w:top w:val="nil"/>
              <w:left w:val="nil"/>
              <w:bottom w:val="single" w:sz="8" w:space="0" w:color="auto"/>
              <w:right w:val="single" w:sz="8" w:space="0" w:color="auto"/>
            </w:tcBorders>
            <w:tcMar>
              <w:top w:w="0" w:type="dxa"/>
              <w:left w:w="115" w:type="dxa"/>
              <w:bottom w:w="0" w:type="dxa"/>
              <w:right w:w="115" w:type="dxa"/>
            </w:tcMar>
          </w:tcPr>
          <w:p w14:paraId="3A66B141" w14:textId="77777777" w:rsidR="004F0043" w:rsidRPr="004F0043" w:rsidRDefault="004F0043" w:rsidP="004F0043">
            <w:pPr>
              <w:rPr>
                <w:rFonts w:ascii="Arial" w:hAnsi="Arial" w:cs="Arial"/>
                <w:sz w:val="24"/>
                <w:szCs w:val="24"/>
              </w:rPr>
            </w:pPr>
            <w:r w:rsidRPr="004F0043">
              <w:rPr>
                <w:rFonts w:ascii="Arial" w:hAnsi="Arial" w:cs="Arial"/>
                <w:sz w:val="24"/>
                <w:szCs w:val="24"/>
              </w:rPr>
              <w:t>NYS has guidance documents related to UM for HCBS (developed in collaboration with HPA), SUD services (use of LOCATDR), ambulatory office and clinic services, Assertive Community Treatment, and Personalized Recovery Oriented Services (PROS).  These documents are available to all plans.  NYS will not issue guidance on UM for any other services. </w:t>
            </w:r>
          </w:p>
          <w:p w14:paraId="7EECC203" w14:textId="77777777" w:rsidR="003F7D2B" w:rsidRPr="00C664B8" w:rsidRDefault="003F7D2B">
            <w:pPr>
              <w:rPr>
                <w:rFonts w:ascii="Arial" w:hAnsi="Arial" w:cs="Arial"/>
                <w:sz w:val="24"/>
                <w:szCs w:val="24"/>
              </w:rPr>
            </w:pPr>
          </w:p>
        </w:tc>
      </w:tr>
      <w:tr w:rsidR="00C664B8" w:rsidRPr="00C664B8" w14:paraId="1EF8A9F6"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2019BD56" w14:textId="51B2DEAD"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1681506E" w14:textId="77777777" w:rsidR="003F7D2B" w:rsidRPr="00C664B8" w:rsidRDefault="003F7D2B">
            <w:pPr>
              <w:rPr>
                <w:rFonts w:ascii="Arial" w:hAnsi="Arial" w:cs="Arial"/>
                <w:sz w:val="24"/>
                <w:szCs w:val="24"/>
              </w:rPr>
            </w:pPr>
            <w:r w:rsidRPr="00C664B8">
              <w:rPr>
                <w:rFonts w:ascii="Arial" w:hAnsi="Arial" w:cs="Arial"/>
                <w:sz w:val="24"/>
                <w:szCs w:val="24"/>
              </w:rPr>
              <w:t>Does the</w:t>
            </w:r>
            <w:r w:rsidR="00C664B8">
              <w:rPr>
                <w:rFonts w:ascii="Arial" w:hAnsi="Arial" w:cs="Arial"/>
                <w:sz w:val="24"/>
                <w:szCs w:val="24"/>
              </w:rPr>
              <w:t xml:space="preserve"> BH</w:t>
            </w:r>
            <w:r w:rsidRPr="00C664B8">
              <w:rPr>
                <w:rFonts w:ascii="Arial" w:hAnsi="Arial" w:cs="Arial"/>
                <w:sz w:val="24"/>
                <w:szCs w:val="24"/>
              </w:rPr>
              <w:t xml:space="preserve"> HCBS designation have a term?  Does any entity have to re</w:t>
            </w:r>
            <w:r w:rsidR="00E7305A" w:rsidRPr="00C664B8">
              <w:rPr>
                <w:rFonts w:ascii="Arial" w:hAnsi="Arial" w:cs="Arial"/>
                <w:sz w:val="24"/>
                <w:szCs w:val="24"/>
              </w:rPr>
              <w:t>-</w:t>
            </w:r>
            <w:r w:rsidRPr="00C664B8">
              <w:rPr>
                <w:rFonts w:ascii="Arial" w:hAnsi="Arial" w:cs="Arial"/>
                <w:sz w:val="24"/>
                <w:szCs w:val="24"/>
              </w:rPr>
              <w:t>designate annually or by some other timeframe?</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79F74AAC" w14:textId="308FDE63" w:rsidR="003F7D2B" w:rsidRPr="00C664B8" w:rsidRDefault="003F7D2B" w:rsidP="00176CC4">
            <w:pPr>
              <w:rPr>
                <w:rFonts w:ascii="Arial" w:hAnsi="Arial" w:cs="Arial"/>
                <w:sz w:val="24"/>
                <w:szCs w:val="24"/>
              </w:rPr>
            </w:pPr>
            <w:r w:rsidRPr="00C664B8">
              <w:rPr>
                <w:rFonts w:ascii="Arial" w:hAnsi="Arial" w:cs="Arial"/>
                <w:sz w:val="24"/>
                <w:szCs w:val="24"/>
              </w:rPr>
              <w:t>Designation</w:t>
            </w:r>
            <w:r w:rsidR="00176CC4">
              <w:rPr>
                <w:rFonts w:ascii="Arial" w:hAnsi="Arial" w:cs="Arial"/>
                <w:sz w:val="24"/>
                <w:szCs w:val="24"/>
              </w:rPr>
              <w:t xml:space="preserve"> is not for a </w:t>
            </w:r>
            <w:r w:rsidRPr="00C664B8">
              <w:rPr>
                <w:rFonts w:ascii="Arial" w:hAnsi="Arial" w:cs="Arial"/>
                <w:sz w:val="24"/>
                <w:szCs w:val="24"/>
              </w:rPr>
              <w:t xml:space="preserve">particular </w:t>
            </w:r>
            <w:proofErr w:type="gramStart"/>
            <w:r w:rsidRPr="00C664B8">
              <w:rPr>
                <w:rFonts w:ascii="Arial" w:hAnsi="Arial" w:cs="Arial"/>
                <w:sz w:val="24"/>
                <w:szCs w:val="24"/>
              </w:rPr>
              <w:t>timeframe</w:t>
            </w:r>
            <w:r w:rsidR="00176CC4">
              <w:rPr>
                <w:rFonts w:ascii="Arial" w:hAnsi="Arial" w:cs="Arial"/>
                <w:sz w:val="24"/>
                <w:szCs w:val="24"/>
              </w:rPr>
              <w:t>,</w:t>
            </w:r>
            <w:proofErr w:type="gramEnd"/>
            <w:r w:rsidRPr="00C664B8">
              <w:rPr>
                <w:rFonts w:ascii="Arial" w:hAnsi="Arial" w:cs="Arial"/>
                <w:sz w:val="24"/>
                <w:szCs w:val="24"/>
              </w:rPr>
              <w:t xml:space="preserve"> </w:t>
            </w:r>
            <w:r w:rsidR="00176CC4">
              <w:rPr>
                <w:rFonts w:ascii="Arial" w:hAnsi="Arial" w:cs="Arial"/>
                <w:sz w:val="24"/>
                <w:szCs w:val="24"/>
              </w:rPr>
              <w:t>however</w:t>
            </w:r>
            <w:r w:rsidRPr="00C664B8">
              <w:rPr>
                <w:rFonts w:ascii="Arial" w:hAnsi="Arial" w:cs="Arial"/>
                <w:sz w:val="24"/>
                <w:szCs w:val="24"/>
              </w:rPr>
              <w:t xml:space="preserve"> the applicant will have to continue to meet the requirements established.  NYS is in the process of developing </w:t>
            </w:r>
            <w:r w:rsidR="00C664B8">
              <w:rPr>
                <w:rFonts w:ascii="Arial" w:hAnsi="Arial" w:cs="Arial"/>
                <w:sz w:val="24"/>
                <w:szCs w:val="24"/>
              </w:rPr>
              <w:t xml:space="preserve">BH </w:t>
            </w:r>
            <w:r w:rsidRPr="00C664B8">
              <w:rPr>
                <w:rFonts w:ascii="Arial" w:hAnsi="Arial" w:cs="Arial"/>
                <w:sz w:val="24"/>
                <w:szCs w:val="24"/>
              </w:rPr>
              <w:t xml:space="preserve">HCBS oversight guidelines to ensure that services </w:t>
            </w:r>
            <w:proofErr w:type="gramStart"/>
            <w:r w:rsidRPr="00C664B8">
              <w:rPr>
                <w:rFonts w:ascii="Arial" w:hAnsi="Arial" w:cs="Arial"/>
                <w:sz w:val="24"/>
                <w:szCs w:val="24"/>
              </w:rPr>
              <w:t>are provided</w:t>
            </w:r>
            <w:proofErr w:type="gramEnd"/>
            <w:r w:rsidRPr="00C664B8">
              <w:rPr>
                <w:rFonts w:ascii="Arial" w:hAnsi="Arial" w:cs="Arial"/>
                <w:sz w:val="24"/>
                <w:szCs w:val="24"/>
              </w:rPr>
              <w:t xml:space="preserve"> in accordance with the </w:t>
            </w:r>
            <w:r w:rsidR="00C664B8">
              <w:rPr>
                <w:rFonts w:ascii="Arial" w:hAnsi="Arial" w:cs="Arial"/>
                <w:sz w:val="24"/>
                <w:szCs w:val="24"/>
              </w:rPr>
              <w:t xml:space="preserve">BH </w:t>
            </w:r>
            <w:r w:rsidRPr="00C664B8">
              <w:rPr>
                <w:rFonts w:ascii="Arial" w:hAnsi="Arial" w:cs="Arial"/>
                <w:sz w:val="24"/>
                <w:szCs w:val="24"/>
              </w:rPr>
              <w:t xml:space="preserve">HCBS manual. </w:t>
            </w:r>
          </w:p>
        </w:tc>
      </w:tr>
      <w:tr w:rsidR="00C664B8" w:rsidRPr="00C664B8" w14:paraId="53E323A8"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49D1769" w14:textId="56157275"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5997F734" w14:textId="77777777" w:rsidR="003F7D2B" w:rsidRPr="00C664B8" w:rsidRDefault="003F7D2B">
            <w:pPr>
              <w:rPr>
                <w:rFonts w:ascii="Arial" w:hAnsi="Arial" w:cs="Arial"/>
                <w:sz w:val="24"/>
                <w:szCs w:val="24"/>
              </w:rPr>
            </w:pPr>
            <w:r w:rsidRPr="00C664B8">
              <w:rPr>
                <w:rFonts w:ascii="Arial" w:hAnsi="Arial" w:cs="Arial"/>
                <w:sz w:val="24"/>
                <w:szCs w:val="24"/>
              </w:rPr>
              <w:t xml:space="preserve">How will plans know when the previous </w:t>
            </w:r>
            <w:proofErr w:type="gramStart"/>
            <w:r w:rsidRPr="00C664B8">
              <w:rPr>
                <w:rFonts w:ascii="Arial" w:hAnsi="Arial" w:cs="Arial"/>
                <w:sz w:val="24"/>
                <w:szCs w:val="24"/>
              </w:rPr>
              <w:t xml:space="preserve">evaluations for </w:t>
            </w:r>
            <w:r w:rsidR="00C664B8">
              <w:rPr>
                <w:rFonts w:ascii="Arial" w:hAnsi="Arial" w:cs="Arial"/>
                <w:sz w:val="24"/>
                <w:szCs w:val="24"/>
              </w:rPr>
              <w:t xml:space="preserve">BH </w:t>
            </w:r>
            <w:r w:rsidRPr="00C664B8">
              <w:rPr>
                <w:rFonts w:ascii="Arial" w:hAnsi="Arial" w:cs="Arial"/>
                <w:sz w:val="24"/>
                <w:szCs w:val="24"/>
              </w:rPr>
              <w:t>HCBS was</w:t>
            </w:r>
            <w:proofErr w:type="gramEnd"/>
            <w:r w:rsidRPr="00C664B8">
              <w:rPr>
                <w:rFonts w:ascii="Arial" w:hAnsi="Arial" w:cs="Arial"/>
                <w:sz w:val="24"/>
                <w:szCs w:val="24"/>
              </w:rPr>
              <w:t xml:space="preserve"> done for members who came from another plan, as eligibility needs to be evaluated annually?</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35F35A7C" w14:textId="77777777" w:rsidR="003F7D2B" w:rsidRPr="00C664B8" w:rsidRDefault="003F7D2B" w:rsidP="003F7D2B">
            <w:pPr>
              <w:rPr>
                <w:rFonts w:ascii="Arial" w:hAnsi="Arial" w:cs="Arial"/>
                <w:sz w:val="24"/>
                <w:szCs w:val="24"/>
              </w:rPr>
            </w:pPr>
            <w:r w:rsidRPr="00C664B8">
              <w:rPr>
                <w:rFonts w:ascii="Arial" w:hAnsi="Arial" w:cs="Arial"/>
                <w:sz w:val="24"/>
                <w:szCs w:val="24"/>
              </w:rPr>
              <w:t xml:space="preserve">Through the UAS, Plans will be able to see previous assessments that were completed. </w:t>
            </w:r>
          </w:p>
        </w:tc>
      </w:tr>
      <w:tr w:rsidR="00C664B8" w:rsidRPr="00C664B8" w14:paraId="4A1C9DAD"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BDBD15A" w14:textId="0FD4C3A8"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4AFB440F" w14:textId="77777777" w:rsidR="003F7D2B" w:rsidRPr="00C664B8" w:rsidRDefault="003F7D2B">
            <w:pPr>
              <w:rPr>
                <w:rFonts w:ascii="Arial" w:hAnsi="Arial" w:cs="Arial"/>
                <w:sz w:val="24"/>
                <w:szCs w:val="24"/>
              </w:rPr>
            </w:pPr>
            <w:r w:rsidRPr="00C664B8">
              <w:rPr>
                <w:rFonts w:ascii="Arial" w:hAnsi="Arial" w:cs="Arial"/>
                <w:sz w:val="24"/>
                <w:szCs w:val="24"/>
              </w:rPr>
              <w:t xml:space="preserve">Would the state provide the codes necessary </w:t>
            </w:r>
            <w:proofErr w:type="gramStart"/>
            <w:r w:rsidRPr="00C664B8">
              <w:rPr>
                <w:rFonts w:ascii="Arial" w:hAnsi="Arial" w:cs="Arial"/>
                <w:sz w:val="24"/>
                <w:szCs w:val="24"/>
              </w:rPr>
              <w:t>to properly identify</w:t>
            </w:r>
            <w:proofErr w:type="gramEnd"/>
            <w:r w:rsidRPr="00C664B8">
              <w:rPr>
                <w:rFonts w:ascii="Arial" w:hAnsi="Arial" w:cs="Arial"/>
                <w:sz w:val="24"/>
                <w:szCs w:val="24"/>
              </w:rPr>
              <w:t xml:space="preserve"> providers by services for the plans network submission?  (i.e. need updated HPN data dictionary)</w:t>
            </w: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246ECF8A" w14:textId="77777777" w:rsidR="003F7D2B" w:rsidRPr="00C664B8" w:rsidRDefault="00E7305A">
            <w:pPr>
              <w:rPr>
                <w:rFonts w:ascii="Arial" w:hAnsi="Arial" w:cs="Arial"/>
                <w:sz w:val="24"/>
                <w:szCs w:val="24"/>
              </w:rPr>
            </w:pPr>
            <w:r w:rsidRPr="00C664B8">
              <w:rPr>
                <w:rFonts w:ascii="Arial" w:hAnsi="Arial" w:cs="Arial"/>
                <w:sz w:val="24"/>
                <w:szCs w:val="24"/>
              </w:rPr>
              <w:t>For the initial network development, the State will provide a list of providers that serve 5 or more of their members.  Plans must offer contracts to these providers.</w:t>
            </w:r>
            <w:r w:rsidR="00B340DD" w:rsidRPr="00C664B8">
              <w:rPr>
                <w:rFonts w:ascii="Arial" w:hAnsi="Arial" w:cs="Arial"/>
                <w:sz w:val="24"/>
                <w:szCs w:val="24"/>
              </w:rPr>
              <w:t xml:space="preserve">  Additionally, the state will also provide the list of essential community providers for which the Plans must contract (i.e., OTP and state operated outpatient programs)</w:t>
            </w:r>
          </w:p>
        </w:tc>
      </w:tr>
      <w:tr w:rsidR="00C664B8" w:rsidRPr="00C664B8" w14:paraId="4D51B91B" w14:textId="77777777" w:rsidTr="003833A8">
        <w:trPr>
          <w:trHeight w:val="395"/>
        </w:trPr>
        <w:tc>
          <w:tcPr>
            <w:tcW w:w="413"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6D9C6B2" w14:textId="7062ACA4"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nil"/>
              <w:left w:val="nil"/>
              <w:bottom w:val="single" w:sz="8" w:space="0" w:color="auto"/>
              <w:right w:val="single" w:sz="8" w:space="0" w:color="auto"/>
            </w:tcBorders>
            <w:tcMar>
              <w:top w:w="0" w:type="dxa"/>
              <w:left w:w="115" w:type="dxa"/>
              <w:bottom w:w="0" w:type="dxa"/>
              <w:right w:w="115" w:type="dxa"/>
            </w:tcMar>
            <w:hideMark/>
          </w:tcPr>
          <w:p w14:paraId="2BA87421" w14:textId="5E18459D" w:rsidR="003F7D2B" w:rsidRPr="00C664B8" w:rsidRDefault="00C664B8" w:rsidP="0076137E">
            <w:pPr>
              <w:rPr>
                <w:rFonts w:ascii="Arial" w:hAnsi="Arial" w:cs="Arial"/>
                <w:sz w:val="24"/>
                <w:szCs w:val="24"/>
              </w:rPr>
            </w:pPr>
            <w:r>
              <w:rPr>
                <w:rFonts w:ascii="Arial" w:hAnsi="Arial" w:cs="Arial"/>
                <w:sz w:val="24"/>
                <w:szCs w:val="24"/>
              </w:rPr>
              <w:t xml:space="preserve">Can </w:t>
            </w:r>
            <w:r w:rsidR="003F7D2B" w:rsidRPr="00C664B8">
              <w:rPr>
                <w:rFonts w:ascii="Arial" w:hAnsi="Arial" w:cs="Arial"/>
                <w:sz w:val="24"/>
                <w:szCs w:val="24"/>
              </w:rPr>
              <w:t xml:space="preserve">MCO staff administer the InterRAI and develop the plan of care with the Health Home?  </w:t>
            </w:r>
          </w:p>
          <w:p w14:paraId="787BEB2E" w14:textId="77777777" w:rsidR="0076137E" w:rsidRPr="00C664B8" w:rsidRDefault="0076137E" w:rsidP="0076137E">
            <w:pPr>
              <w:rPr>
                <w:rFonts w:ascii="Arial" w:hAnsi="Arial" w:cs="Arial"/>
                <w:sz w:val="24"/>
                <w:szCs w:val="24"/>
              </w:rPr>
            </w:pPr>
          </w:p>
        </w:tc>
        <w:tc>
          <w:tcPr>
            <w:tcW w:w="2418" w:type="pct"/>
            <w:tcBorders>
              <w:top w:val="nil"/>
              <w:left w:val="nil"/>
              <w:bottom w:val="single" w:sz="8" w:space="0" w:color="auto"/>
              <w:right w:val="single" w:sz="8" w:space="0" w:color="auto"/>
            </w:tcBorders>
            <w:tcMar>
              <w:top w:w="0" w:type="dxa"/>
              <w:left w:w="115" w:type="dxa"/>
              <w:bottom w:w="0" w:type="dxa"/>
              <w:right w:w="115" w:type="dxa"/>
            </w:tcMar>
            <w:hideMark/>
          </w:tcPr>
          <w:p w14:paraId="44FA31B5" w14:textId="77777777" w:rsidR="003F7D2B" w:rsidRPr="00C664B8" w:rsidRDefault="0076137E" w:rsidP="0076137E">
            <w:pPr>
              <w:rPr>
                <w:rFonts w:ascii="Arial" w:hAnsi="Arial" w:cs="Arial"/>
                <w:sz w:val="24"/>
                <w:szCs w:val="24"/>
              </w:rPr>
            </w:pPr>
            <w:r w:rsidRPr="00C664B8">
              <w:rPr>
                <w:rFonts w:ascii="Arial" w:hAnsi="Arial" w:cs="Arial"/>
                <w:sz w:val="24"/>
                <w:szCs w:val="24"/>
              </w:rPr>
              <w:t>This proposed approach conflicts with NYS’s approach for conflict free care management.  The State continues to work with Plans and Health Homes to facilitate their partnership in the development of effective plans of care.</w:t>
            </w:r>
          </w:p>
        </w:tc>
      </w:tr>
      <w:tr w:rsidR="00C664B8" w:rsidRPr="00C664B8" w14:paraId="2B516491" w14:textId="77777777" w:rsidTr="003833A8">
        <w:trPr>
          <w:trHeight w:val="395"/>
        </w:trPr>
        <w:tc>
          <w:tcPr>
            <w:tcW w:w="413" w:type="pct"/>
            <w:tcBorders>
              <w:top w:val="single" w:sz="4" w:space="0" w:color="auto"/>
              <w:left w:val="single" w:sz="8" w:space="0" w:color="auto"/>
              <w:bottom w:val="single" w:sz="8" w:space="0" w:color="auto"/>
              <w:right w:val="single" w:sz="8" w:space="0" w:color="auto"/>
            </w:tcBorders>
            <w:tcMar>
              <w:top w:w="0" w:type="dxa"/>
              <w:left w:w="115" w:type="dxa"/>
              <w:bottom w:w="0" w:type="dxa"/>
              <w:right w:w="115" w:type="dxa"/>
            </w:tcMar>
          </w:tcPr>
          <w:p w14:paraId="53371E2B" w14:textId="1485FAA7" w:rsidR="003F7D2B" w:rsidRPr="00176CC4" w:rsidRDefault="003F7D2B" w:rsidP="00176CC4">
            <w:pPr>
              <w:pStyle w:val="ListParagraph"/>
              <w:numPr>
                <w:ilvl w:val="0"/>
                <w:numId w:val="1"/>
              </w:numPr>
              <w:jc w:val="center"/>
              <w:rPr>
                <w:rFonts w:ascii="Arial" w:hAnsi="Arial" w:cs="Arial"/>
                <w:sz w:val="24"/>
                <w:szCs w:val="24"/>
              </w:rPr>
            </w:pPr>
          </w:p>
        </w:tc>
        <w:tc>
          <w:tcPr>
            <w:tcW w:w="2169" w:type="pct"/>
            <w:tcBorders>
              <w:top w:val="single" w:sz="4" w:space="0" w:color="auto"/>
              <w:left w:val="nil"/>
              <w:bottom w:val="single" w:sz="8" w:space="0" w:color="auto"/>
              <w:right w:val="single" w:sz="8" w:space="0" w:color="auto"/>
            </w:tcBorders>
            <w:tcMar>
              <w:top w:w="0" w:type="dxa"/>
              <w:left w:w="115" w:type="dxa"/>
              <w:bottom w:w="0" w:type="dxa"/>
              <w:right w:w="115" w:type="dxa"/>
            </w:tcMar>
            <w:hideMark/>
          </w:tcPr>
          <w:p w14:paraId="048D3DE7" w14:textId="77777777" w:rsidR="003F7D2B" w:rsidRPr="00C664B8" w:rsidRDefault="003F7D2B" w:rsidP="00D176DB">
            <w:pPr>
              <w:rPr>
                <w:rFonts w:ascii="Arial" w:hAnsi="Arial" w:cs="Arial"/>
                <w:sz w:val="24"/>
                <w:szCs w:val="24"/>
              </w:rPr>
            </w:pPr>
            <w:r w:rsidRPr="00C664B8">
              <w:rPr>
                <w:rFonts w:ascii="Arial" w:hAnsi="Arial" w:cs="Arial"/>
                <w:sz w:val="24"/>
                <w:szCs w:val="24"/>
              </w:rPr>
              <w:t xml:space="preserve">Does the RFQ question need to be </w:t>
            </w:r>
            <w:r w:rsidR="00D176DB" w:rsidRPr="00C664B8">
              <w:rPr>
                <w:rFonts w:ascii="Arial" w:hAnsi="Arial" w:cs="Arial"/>
                <w:sz w:val="24"/>
                <w:szCs w:val="24"/>
              </w:rPr>
              <w:t>included</w:t>
            </w:r>
            <w:r w:rsidRPr="00C664B8">
              <w:rPr>
                <w:rFonts w:ascii="Arial" w:hAnsi="Arial" w:cs="Arial"/>
                <w:sz w:val="24"/>
                <w:szCs w:val="24"/>
              </w:rPr>
              <w:t xml:space="preserve"> with the reply, and if so does it apply to the page limit?</w:t>
            </w:r>
          </w:p>
        </w:tc>
        <w:tc>
          <w:tcPr>
            <w:tcW w:w="2418" w:type="pct"/>
            <w:tcBorders>
              <w:top w:val="single" w:sz="4" w:space="0" w:color="auto"/>
              <w:left w:val="nil"/>
              <w:bottom w:val="single" w:sz="8" w:space="0" w:color="auto"/>
              <w:right w:val="single" w:sz="8" w:space="0" w:color="auto"/>
            </w:tcBorders>
            <w:tcMar>
              <w:top w:w="0" w:type="dxa"/>
              <w:left w:w="115" w:type="dxa"/>
              <w:bottom w:w="0" w:type="dxa"/>
              <w:right w:w="115" w:type="dxa"/>
            </w:tcMar>
          </w:tcPr>
          <w:p w14:paraId="5CE72A5F" w14:textId="1CEDFB25" w:rsidR="00D176DB" w:rsidRPr="00C664B8" w:rsidRDefault="003F7D2B">
            <w:pPr>
              <w:rPr>
                <w:rFonts w:ascii="Arial" w:hAnsi="Arial" w:cs="Arial"/>
                <w:sz w:val="24"/>
                <w:szCs w:val="24"/>
              </w:rPr>
            </w:pPr>
            <w:r w:rsidRPr="00C664B8">
              <w:rPr>
                <w:rFonts w:ascii="Arial" w:hAnsi="Arial" w:cs="Arial"/>
                <w:sz w:val="24"/>
                <w:szCs w:val="24"/>
              </w:rPr>
              <w:t xml:space="preserve">Yes, Please identify the question that you are providing a response </w:t>
            </w:r>
            <w:proofErr w:type="gramStart"/>
            <w:r w:rsidRPr="00C664B8">
              <w:rPr>
                <w:rFonts w:ascii="Arial" w:hAnsi="Arial" w:cs="Arial"/>
                <w:sz w:val="24"/>
                <w:szCs w:val="24"/>
              </w:rPr>
              <w:t>to</w:t>
            </w:r>
            <w:proofErr w:type="gramEnd"/>
            <w:r w:rsidRPr="00C664B8">
              <w:rPr>
                <w:rFonts w:ascii="Arial" w:hAnsi="Arial" w:cs="Arial"/>
                <w:sz w:val="24"/>
                <w:szCs w:val="24"/>
              </w:rPr>
              <w:t xml:space="preserve">. </w:t>
            </w:r>
            <w:r w:rsidR="00176CC4">
              <w:rPr>
                <w:rFonts w:ascii="Arial" w:hAnsi="Arial" w:cs="Arial"/>
                <w:sz w:val="24"/>
                <w:szCs w:val="24"/>
              </w:rPr>
              <w:t xml:space="preserve"> You </w:t>
            </w:r>
            <w:proofErr w:type="gramStart"/>
            <w:r w:rsidR="00176CC4">
              <w:rPr>
                <w:rFonts w:ascii="Arial" w:hAnsi="Arial" w:cs="Arial"/>
                <w:sz w:val="24"/>
                <w:szCs w:val="24"/>
              </w:rPr>
              <w:t>will not be penalized</w:t>
            </w:r>
            <w:proofErr w:type="gramEnd"/>
            <w:r w:rsidR="00176CC4">
              <w:rPr>
                <w:rFonts w:ascii="Arial" w:hAnsi="Arial" w:cs="Arial"/>
                <w:sz w:val="24"/>
                <w:szCs w:val="24"/>
              </w:rPr>
              <w:t xml:space="preserve"> on page limit for including the question.</w:t>
            </w:r>
          </w:p>
        </w:tc>
      </w:tr>
    </w:tbl>
    <w:p w14:paraId="6C8BD149" w14:textId="77777777" w:rsidR="003F7D2B" w:rsidRDefault="003F7D2B" w:rsidP="003F7D2B"/>
    <w:p w14:paraId="5F8F5668" w14:textId="77777777" w:rsidR="00382135" w:rsidRDefault="00382135"/>
    <w:sectPr w:rsidR="00382135" w:rsidSect="00CB191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D86D" w14:textId="77777777" w:rsidR="008E4F28" w:rsidRDefault="008E4F28" w:rsidP="008E4F28">
      <w:r>
        <w:separator/>
      </w:r>
    </w:p>
  </w:endnote>
  <w:endnote w:type="continuationSeparator" w:id="0">
    <w:p w14:paraId="60693519" w14:textId="77777777" w:rsidR="008E4F28" w:rsidRDefault="008E4F28" w:rsidP="008E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D40D6" w14:textId="77777777" w:rsidR="008E4F28" w:rsidRDefault="008E4F28" w:rsidP="008E4F28">
      <w:r>
        <w:separator/>
      </w:r>
    </w:p>
  </w:footnote>
  <w:footnote w:type="continuationSeparator" w:id="0">
    <w:p w14:paraId="4576F2FC" w14:textId="77777777" w:rsidR="008E4F28" w:rsidRDefault="008E4F28" w:rsidP="008E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62FC" w14:textId="77777777" w:rsidR="008E4F28" w:rsidRPr="00052E09" w:rsidRDefault="008E4F28" w:rsidP="008E4F28">
    <w:pPr>
      <w:pStyle w:val="Header"/>
      <w:jc w:val="center"/>
      <w:rPr>
        <w:b/>
      </w:rPr>
    </w:pPr>
    <w:r>
      <w:object w:dxaOrig="9600" w:dyaOrig="1110" w14:anchorId="4DF43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45pt;height:57.75pt" o:ole="">
          <v:imagedata r:id="rId1" o:title=""/>
        </v:shape>
        <o:OLEObject Type="Embed" ProgID="PBrush" ShapeID="_x0000_i1025" DrawAspect="Content" ObjectID="_1504081270" r:id="rId2"/>
      </w:object>
    </w:r>
  </w:p>
  <w:p w14:paraId="5626B803" w14:textId="77777777" w:rsidR="008E4F28" w:rsidRDefault="008E4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B4522"/>
    <w:multiLevelType w:val="hybridMultilevel"/>
    <w:tmpl w:val="E6F8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2B"/>
    <w:rsid w:val="00176CC4"/>
    <w:rsid w:val="00382135"/>
    <w:rsid w:val="003833A8"/>
    <w:rsid w:val="003F7D2B"/>
    <w:rsid w:val="004F0043"/>
    <w:rsid w:val="00600B2D"/>
    <w:rsid w:val="006A1DB7"/>
    <w:rsid w:val="006B09D5"/>
    <w:rsid w:val="007138D2"/>
    <w:rsid w:val="0076137E"/>
    <w:rsid w:val="008E4F28"/>
    <w:rsid w:val="00AD7DEB"/>
    <w:rsid w:val="00B340DD"/>
    <w:rsid w:val="00BC1C30"/>
    <w:rsid w:val="00C04D6B"/>
    <w:rsid w:val="00C50830"/>
    <w:rsid w:val="00C664B8"/>
    <w:rsid w:val="00CB191D"/>
    <w:rsid w:val="00D176DB"/>
    <w:rsid w:val="00E7305A"/>
    <w:rsid w:val="00F7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1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2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D2B"/>
    <w:rPr>
      <w:rFonts w:ascii="Times New Roman" w:hAnsi="Times New Roman" w:cs="Times New Roman" w:hint="default"/>
      <w:color w:val="0563C1"/>
      <w:u w:val="single"/>
    </w:rPr>
  </w:style>
  <w:style w:type="paragraph" w:styleId="PlainText">
    <w:name w:val="Plain Text"/>
    <w:basedOn w:val="Normal"/>
    <w:link w:val="PlainTextChar"/>
    <w:uiPriority w:val="99"/>
    <w:unhideWhenUsed/>
    <w:rsid w:val="003F7D2B"/>
  </w:style>
  <w:style w:type="character" w:customStyle="1" w:styleId="PlainTextChar">
    <w:name w:val="Plain Text Char"/>
    <w:basedOn w:val="DefaultParagraphFont"/>
    <w:link w:val="PlainText"/>
    <w:uiPriority w:val="99"/>
    <w:rsid w:val="003F7D2B"/>
    <w:rPr>
      <w:rFonts w:ascii="Calibri" w:eastAsia="Times New Roman" w:hAnsi="Calibri" w:cs="Times New Roman"/>
    </w:rPr>
  </w:style>
  <w:style w:type="character" w:styleId="CommentReference">
    <w:name w:val="annotation reference"/>
    <w:basedOn w:val="DefaultParagraphFont"/>
    <w:uiPriority w:val="99"/>
    <w:semiHidden/>
    <w:unhideWhenUsed/>
    <w:rsid w:val="00CB191D"/>
    <w:rPr>
      <w:sz w:val="16"/>
      <w:szCs w:val="16"/>
    </w:rPr>
  </w:style>
  <w:style w:type="paragraph" w:styleId="CommentText">
    <w:name w:val="annotation text"/>
    <w:basedOn w:val="Normal"/>
    <w:link w:val="CommentTextChar"/>
    <w:uiPriority w:val="99"/>
    <w:semiHidden/>
    <w:unhideWhenUsed/>
    <w:rsid w:val="00CB191D"/>
    <w:rPr>
      <w:sz w:val="20"/>
      <w:szCs w:val="20"/>
    </w:rPr>
  </w:style>
  <w:style w:type="character" w:customStyle="1" w:styleId="CommentTextChar">
    <w:name w:val="Comment Text Char"/>
    <w:basedOn w:val="DefaultParagraphFont"/>
    <w:link w:val="CommentText"/>
    <w:uiPriority w:val="99"/>
    <w:semiHidden/>
    <w:rsid w:val="00CB191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91D"/>
    <w:rPr>
      <w:b/>
      <w:bCs/>
    </w:rPr>
  </w:style>
  <w:style w:type="character" w:customStyle="1" w:styleId="CommentSubjectChar">
    <w:name w:val="Comment Subject Char"/>
    <w:basedOn w:val="CommentTextChar"/>
    <w:link w:val="CommentSubject"/>
    <w:uiPriority w:val="99"/>
    <w:semiHidden/>
    <w:rsid w:val="00CB191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B1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1D"/>
    <w:rPr>
      <w:rFonts w:ascii="Segoe UI" w:eastAsia="Times New Roman" w:hAnsi="Segoe UI" w:cs="Segoe UI"/>
      <w:sz w:val="18"/>
      <w:szCs w:val="18"/>
    </w:rPr>
  </w:style>
  <w:style w:type="paragraph" w:styleId="Header">
    <w:name w:val="header"/>
    <w:basedOn w:val="Normal"/>
    <w:link w:val="HeaderChar"/>
    <w:uiPriority w:val="99"/>
    <w:unhideWhenUsed/>
    <w:rsid w:val="008E4F28"/>
    <w:pPr>
      <w:tabs>
        <w:tab w:val="center" w:pos="4680"/>
        <w:tab w:val="right" w:pos="9360"/>
      </w:tabs>
    </w:pPr>
  </w:style>
  <w:style w:type="character" w:customStyle="1" w:styleId="HeaderChar">
    <w:name w:val="Header Char"/>
    <w:basedOn w:val="DefaultParagraphFont"/>
    <w:link w:val="Header"/>
    <w:uiPriority w:val="99"/>
    <w:rsid w:val="008E4F28"/>
    <w:rPr>
      <w:rFonts w:ascii="Calibri" w:eastAsia="Times New Roman" w:hAnsi="Calibri" w:cs="Times New Roman"/>
    </w:rPr>
  </w:style>
  <w:style w:type="paragraph" w:styleId="Footer">
    <w:name w:val="footer"/>
    <w:basedOn w:val="Normal"/>
    <w:link w:val="FooterChar"/>
    <w:uiPriority w:val="99"/>
    <w:unhideWhenUsed/>
    <w:rsid w:val="008E4F28"/>
    <w:pPr>
      <w:tabs>
        <w:tab w:val="center" w:pos="4680"/>
        <w:tab w:val="right" w:pos="9360"/>
      </w:tabs>
    </w:pPr>
  </w:style>
  <w:style w:type="character" w:customStyle="1" w:styleId="FooterChar">
    <w:name w:val="Footer Char"/>
    <w:basedOn w:val="DefaultParagraphFont"/>
    <w:link w:val="Footer"/>
    <w:uiPriority w:val="99"/>
    <w:rsid w:val="008E4F28"/>
    <w:rPr>
      <w:rFonts w:ascii="Calibri" w:eastAsia="Times New Roman" w:hAnsi="Calibri" w:cs="Times New Roman"/>
    </w:rPr>
  </w:style>
  <w:style w:type="paragraph" w:styleId="ListParagraph">
    <w:name w:val="List Paragraph"/>
    <w:basedOn w:val="Normal"/>
    <w:uiPriority w:val="34"/>
    <w:qFormat/>
    <w:rsid w:val="00176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2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D2B"/>
    <w:rPr>
      <w:rFonts w:ascii="Times New Roman" w:hAnsi="Times New Roman" w:cs="Times New Roman" w:hint="default"/>
      <w:color w:val="0563C1"/>
      <w:u w:val="single"/>
    </w:rPr>
  </w:style>
  <w:style w:type="paragraph" w:styleId="PlainText">
    <w:name w:val="Plain Text"/>
    <w:basedOn w:val="Normal"/>
    <w:link w:val="PlainTextChar"/>
    <w:uiPriority w:val="99"/>
    <w:unhideWhenUsed/>
    <w:rsid w:val="003F7D2B"/>
  </w:style>
  <w:style w:type="character" w:customStyle="1" w:styleId="PlainTextChar">
    <w:name w:val="Plain Text Char"/>
    <w:basedOn w:val="DefaultParagraphFont"/>
    <w:link w:val="PlainText"/>
    <w:uiPriority w:val="99"/>
    <w:rsid w:val="003F7D2B"/>
    <w:rPr>
      <w:rFonts w:ascii="Calibri" w:eastAsia="Times New Roman" w:hAnsi="Calibri" w:cs="Times New Roman"/>
    </w:rPr>
  </w:style>
  <w:style w:type="character" w:styleId="CommentReference">
    <w:name w:val="annotation reference"/>
    <w:basedOn w:val="DefaultParagraphFont"/>
    <w:uiPriority w:val="99"/>
    <w:semiHidden/>
    <w:unhideWhenUsed/>
    <w:rsid w:val="00CB191D"/>
    <w:rPr>
      <w:sz w:val="16"/>
      <w:szCs w:val="16"/>
    </w:rPr>
  </w:style>
  <w:style w:type="paragraph" w:styleId="CommentText">
    <w:name w:val="annotation text"/>
    <w:basedOn w:val="Normal"/>
    <w:link w:val="CommentTextChar"/>
    <w:uiPriority w:val="99"/>
    <w:semiHidden/>
    <w:unhideWhenUsed/>
    <w:rsid w:val="00CB191D"/>
    <w:rPr>
      <w:sz w:val="20"/>
      <w:szCs w:val="20"/>
    </w:rPr>
  </w:style>
  <w:style w:type="character" w:customStyle="1" w:styleId="CommentTextChar">
    <w:name w:val="Comment Text Char"/>
    <w:basedOn w:val="DefaultParagraphFont"/>
    <w:link w:val="CommentText"/>
    <w:uiPriority w:val="99"/>
    <w:semiHidden/>
    <w:rsid w:val="00CB191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91D"/>
    <w:rPr>
      <w:b/>
      <w:bCs/>
    </w:rPr>
  </w:style>
  <w:style w:type="character" w:customStyle="1" w:styleId="CommentSubjectChar">
    <w:name w:val="Comment Subject Char"/>
    <w:basedOn w:val="CommentTextChar"/>
    <w:link w:val="CommentSubject"/>
    <w:uiPriority w:val="99"/>
    <w:semiHidden/>
    <w:rsid w:val="00CB191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B1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1D"/>
    <w:rPr>
      <w:rFonts w:ascii="Segoe UI" w:eastAsia="Times New Roman" w:hAnsi="Segoe UI" w:cs="Segoe UI"/>
      <w:sz w:val="18"/>
      <w:szCs w:val="18"/>
    </w:rPr>
  </w:style>
  <w:style w:type="paragraph" w:styleId="Header">
    <w:name w:val="header"/>
    <w:basedOn w:val="Normal"/>
    <w:link w:val="HeaderChar"/>
    <w:uiPriority w:val="99"/>
    <w:unhideWhenUsed/>
    <w:rsid w:val="008E4F28"/>
    <w:pPr>
      <w:tabs>
        <w:tab w:val="center" w:pos="4680"/>
        <w:tab w:val="right" w:pos="9360"/>
      </w:tabs>
    </w:pPr>
  </w:style>
  <w:style w:type="character" w:customStyle="1" w:styleId="HeaderChar">
    <w:name w:val="Header Char"/>
    <w:basedOn w:val="DefaultParagraphFont"/>
    <w:link w:val="Header"/>
    <w:uiPriority w:val="99"/>
    <w:rsid w:val="008E4F28"/>
    <w:rPr>
      <w:rFonts w:ascii="Calibri" w:eastAsia="Times New Roman" w:hAnsi="Calibri" w:cs="Times New Roman"/>
    </w:rPr>
  </w:style>
  <w:style w:type="paragraph" w:styleId="Footer">
    <w:name w:val="footer"/>
    <w:basedOn w:val="Normal"/>
    <w:link w:val="FooterChar"/>
    <w:uiPriority w:val="99"/>
    <w:unhideWhenUsed/>
    <w:rsid w:val="008E4F28"/>
    <w:pPr>
      <w:tabs>
        <w:tab w:val="center" w:pos="4680"/>
        <w:tab w:val="right" w:pos="9360"/>
      </w:tabs>
    </w:pPr>
  </w:style>
  <w:style w:type="character" w:customStyle="1" w:styleId="FooterChar">
    <w:name w:val="Footer Char"/>
    <w:basedOn w:val="DefaultParagraphFont"/>
    <w:link w:val="Footer"/>
    <w:uiPriority w:val="99"/>
    <w:rsid w:val="008E4F28"/>
    <w:rPr>
      <w:rFonts w:ascii="Calibri" w:eastAsia="Times New Roman" w:hAnsi="Calibri" w:cs="Times New Roman"/>
    </w:rPr>
  </w:style>
  <w:style w:type="paragraph" w:styleId="ListParagraph">
    <w:name w:val="List Paragraph"/>
    <w:basedOn w:val="Normal"/>
    <w:uiPriority w:val="34"/>
    <w:qFormat/>
    <w:rsid w:val="00176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49696">
      <w:bodyDiv w:val="1"/>
      <w:marLeft w:val="0"/>
      <w:marRight w:val="0"/>
      <w:marTop w:val="0"/>
      <w:marBottom w:val="0"/>
      <w:divBdr>
        <w:top w:val="none" w:sz="0" w:space="0" w:color="auto"/>
        <w:left w:val="none" w:sz="0" w:space="0" w:color="auto"/>
        <w:bottom w:val="none" w:sz="0" w:space="0" w:color="auto"/>
        <w:right w:val="none" w:sz="0" w:space="0" w:color="auto"/>
      </w:divBdr>
    </w:div>
    <w:div w:id="21001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h.ny.gov/omhweb/bho/billing-servic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Weiskopf</dc:creator>
  <cp:lastModifiedBy>Amy Button</cp:lastModifiedBy>
  <cp:revision>2</cp:revision>
  <cp:lastPrinted>2015-09-14T16:24:00Z</cp:lastPrinted>
  <dcterms:created xsi:type="dcterms:W3CDTF">2015-09-18T15:34:00Z</dcterms:created>
  <dcterms:modified xsi:type="dcterms:W3CDTF">2015-09-18T15:34:00Z</dcterms:modified>
</cp:coreProperties>
</file>